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ascii="黑体" w:hAnsi="黑体" w:eastAsia="黑体" w:cs="微软雅黑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微软雅黑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firstLine="880" w:firstLineChars="200"/>
        <w:jc w:val="center"/>
        <w:rPr>
          <w:rFonts w:ascii="华光简小标宋" w:hAnsi="宋体" w:eastAsia="华光简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光简小标宋" w:hAnsi="宋体" w:eastAsia="华光简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核准制、评审制项目分类</w:t>
      </w:r>
    </w:p>
    <w:p>
      <w:pPr>
        <w:pStyle w:val="2"/>
        <w:widowControl/>
        <w:spacing w:beforeAutospacing="0" w:afterAutospacing="0" w:line="560" w:lineRule="exact"/>
        <w:rPr>
          <w:rFonts w:ascii="黑体" w:hAnsi="黑体" w:eastAsia="黑体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37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37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是否需要审计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37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核准制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文博会活动资助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创意十二月”活动资助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展会展位费资助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原创舞台剧商演资助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举办重大文创活动资助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配套资助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新注册或新迁入奖励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称号奖励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十强评选与创意设计奖励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原创网游、手游获得奖项奖励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出版物获得奖项奖励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设计获得国内外权威奖项奖励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国家、省、市级公共服务平台建设资助 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napToGrid w:val="0"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4</w:t>
            </w:r>
          </w:p>
        </w:tc>
        <w:tc>
          <w:tcPr>
            <w:tcW w:w="3537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评审制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原创研发启动资助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原创研发成果产业化及市场推广资助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房租补贴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非物质文化遗产产业化开发资助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公共服务平台建设资助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新开设实体书店资助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537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原创影视作品、动画片首播及获奖奖励</w:t>
            </w:r>
          </w:p>
        </w:tc>
        <w:tc>
          <w:tcPr>
            <w:tcW w:w="2265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5983"/>
    <w:rsid w:val="25B359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2018-08-23T07:04:00Z</dcterms:created>
  <dc:creator>连冰颖</dc:creator>
  <cp:lastModifiedBy>连冰颖</cp:lastModifiedBy>
  <dcterms:modified xsi:type="dcterms:W3CDTF">2018-08-23T07:04:58Z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